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DC" w:rsidRPr="00D84D6E" w:rsidRDefault="008B5231" w:rsidP="00D84D6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ПРАВИЛА ЗА ИЗГОТВЯНЕ НА МЕЖДИННИ И ГОДИШНИ ОТЧЕТИ И РЕД</w:t>
      </w:r>
      <w:r w:rsidR="00D84D6E" w:rsidRPr="00D84D6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84D6E">
        <w:rPr>
          <w:rFonts w:ascii="Times New Roman" w:hAnsi="Times New Roman" w:cs="Times New Roman"/>
          <w:b/>
          <w:sz w:val="24"/>
          <w:szCs w:val="24"/>
          <w:lang w:val="bg-BG"/>
        </w:rPr>
        <w:t>РАЗКРИВАНЕ</w:t>
      </w:r>
      <w:r w:rsidR="00D84D6E" w:rsidRPr="00D84D6E">
        <w:rPr>
          <w:rFonts w:ascii="Times New Roman" w:hAnsi="Times New Roman" w:cs="Times New Roman"/>
          <w:b/>
          <w:sz w:val="24"/>
          <w:szCs w:val="24"/>
        </w:rPr>
        <w:t xml:space="preserve"> НА ИНФОРМАЦИЯ</w:t>
      </w:r>
    </w:p>
    <w:p w:rsidR="00D84D6E" w:rsidRPr="00D84D6E" w:rsidRDefault="00D84D6E" w:rsidP="00D84D6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4D6E">
        <w:rPr>
          <w:rFonts w:ascii="Times New Roman" w:hAnsi="Times New Roman" w:cs="Times New Roman"/>
          <w:b/>
          <w:sz w:val="24"/>
          <w:szCs w:val="24"/>
          <w:lang w:val="bg-BG"/>
        </w:rPr>
        <w:t>НА „БЪЛГАРСКИ ТРАНСПОРТЕН ХОЛДИНГ“ АД</w:t>
      </w:r>
    </w:p>
    <w:p w:rsidR="00D84D6E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4D6E">
        <w:rPr>
          <w:rFonts w:ascii="Times New Roman" w:hAnsi="Times New Roman" w:cs="Times New Roman"/>
          <w:sz w:val="24"/>
          <w:szCs w:val="24"/>
        </w:rPr>
        <w:t xml:space="preserve">І. ОБЩИ ПОЛОЖЕНИЯ </w:t>
      </w:r>
    </w:p>
    <w:p w:rsidR="008B5231" w:rsidRPr="008B5231" w:rsidRDefault="00D84D6E" w:rsidP="00D84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1. </w:t>
      </w:r>
      <w:r w:rsidR="008B5231">
        <w:rPr>
          <w:rFonts w:ascii="Times New Roman" w:hAnsi="Times New Roman" w:cs="Times New Roman"/>
          <w:sz w:val="24"/>
          <w:szCs w:val="24"/>
          <w:lang w:val="bg-BG"/>
        </w:rPr>
        <w:t xml:space="preserve">„Български транспортен холдинг“ АД изготвя своите междинни и годишни отчети </w:t>
      </w:r>
      <w:r w:rsidR="00BD216A">
        <w:rPr>
          <w:rFonts w:ascii="Times New Roman" w:hAnsi="Times New Roman" w:cs="Times New Roman"/>
          <w:sz w:val="24"/>
          <w:szCs w:val="24"/>
        </w:rPr>
        <w:t>(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индивидуални и консолидирани) </w:t>
      </w:r>
      <w:r w:rsidR="008B5231">
        <w:rPr>
          <w:rFonts w:ascii="Times New Roman" w:hAnsi="Times New Roman" w:cs="Times New Roman"/>
          <w:sz w:val="24"/>
          <w:szCs w:val="24"/>
          <w:lang w:val="bg-BG"/>
        </w:rPr>
        <w:t>на базата на международните счетоводни стандарти.</w:t>
      </w:r>
    </w:p>
    <w:p w:rsidR="00D84D6E" w:rsidRDefault="00BD216A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2.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 w:rsidR="00D84D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навременно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оповестяване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важни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6E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Оповестяването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съществена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оперативни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рискове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несигурности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холдинга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икономическата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мажоритарната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акционерна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структурата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водят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упражняване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директорите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>.</w:t>
      </w:r>
    </w:p>
    <w:p w:rsidR="001C27B2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8B5231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76054E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8B5231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равнопоставено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7B2" w:rsidRDefault="001C27B2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 w:rsidR="007605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заинтересувани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необходимата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актуални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всичко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спомогнало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правилната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ориентация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7B2" w:rsidRDefault="001C27B2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разкрива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обществеността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регулирана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най-широко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най-широк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кръг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дискриминира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7B2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84D6E">
        <w:rPr>
          <w:rFonts w:ascii="Times New Roman" w:hAnsi="Times New Roman" w:cs="Times New Roman"/>
          <w:sz w:val="24"/>
          <w:szCs w:val="24"/>
        </w:rPr>
        <w:t>ІІ.</w:t>
      </w:r>
      <w:proofErr w:type="gramEnd"/>
      <w:r w:rsidRPr="00D84D6E">
        <w:rPr>
          <w:rFonts w:ascii="Times New Roman" w:hAnsi="Times New Roman" w:cs="Times New Roman"/>
          <w:sz w:val="24"/>
          <w:szCs w:val="24"/>
        </w:rPr>
        <w:t xml:space="preserve"> ИНФОРМАЦИЯ ПРЕД</w:t>
      </w:r>
      <w:r w:rsidR="001C27B2">
        <w:rPr>
          <w:rFonts w:ascii="Times New Roman" w:hAnsi="Times New Roman" w:cs="Times New Roman"/>
          <w:sz w:val="24"/>
          <w:szCs w:val="24"/>
          <w:lang w:val="bg-BG"/>
        </w:rPr>
        <w:t>НАЗНАЧЕНА ЗА</w:t>
      </w:r>
      <w:r w:rsidRPr="00D84D6E">
        <w:rPr>
          <w:rFonts w:ascii="Times New Roman" w:hAnsi="Times New Roman" w:cs="Times New Roman"/>
          <w:sz w:val="24"/>
          <w:szCs w:val="24"/>
        </w:rPr>
        <w:t xml:space="preserve"> АКЦИОНЕРИ И ИНВЕСТИТОРИ </w:t>
      </w:r>
    </w:p>
    <w:p w:rsidR="001C27B2" w:rsidRDefault="001C27B2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</w:t>
      </w:r>
      <w:r w:rsidR="00D84D6E" w:rsidRPr="00D84D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изчерпателна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навременна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упражняване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7B2" w:rsidRDefault="001C27B2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разкрива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регулираната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обществеността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достигането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най-широк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кръг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дискриминира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меди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осигуряват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ефективното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обявената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Меди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ята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16" w:rsidRDefault="001C27B2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F4F16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Материалите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свикването на общо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акционерите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обявяват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публикуват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меди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Материалите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Българска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борса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АД. </w:t>
      </w:r>
    </w:p>
    <w:p w:rsidR="00CF4F16" w:rsidRDefault="00CF4F16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дневният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Надзорния съвет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материалите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включват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постоянния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професионалната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16" w:rsidRDefault="00CF4F16" w:rsidP="00CF4F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поканата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Търговския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запознаят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материалите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Pr="00CF4F16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9:00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12:00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="00D84D6E" w:rsidRPr="00CF4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Запознаването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материалите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пълномощник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изрично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оригинално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пълномощно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нотариално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заверен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подпис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34 „б”,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дружеството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  <w:lang w:val="be-BY"/>
        </w:rPr>
        <w:t>, п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поискване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материалите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предоставят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акционера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срещу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писмена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молба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заведена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деловодството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дружеството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рамките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F16"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бстоятелството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притежаване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установява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оригинална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нотариално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заверена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декларация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CF4F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4F16" w:rsidRDefault="00CF4F16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proofErr w:type="spellStart"/>
      <w:r w:rsidR="00D84D6E" w:rsidRPr="00CF4F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D84D6E" w:rsidRPr="00CF4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CF4F16">
        <w:rPr>
          <w:rFonts w:ascii="Times New Roman" w:hAnsi="Times New Roman" w:cs="Times New Roman"/>
          <w:sz w:val="24"/>
          <w:szCs w:val="24"/>
        </w:rPr>
        <w:t>поискване</w:t>
      </w:r>
      <w:proofErr w:type="spellEnd"/>
      <w:r w:rsidR="00D84D6E" w:rsidRPr="00CF4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CF4F16">
        <w:rPr>
          <w:rFonts w:ascii="Times New Roman" w:hAnsi="Times New Roman" w:cs="Times New Roman"/>
          <w:sz w:val="24"/>
          <w:szCs w:val="24"/>
        </w:rPr>
        <w:t>писмените</w:t>
      </w:r>
      <w:proofErr w:type="spellEnd"/>
      <w:r w:rsidR="00D84D6E" w:rsidRPr="00CF4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CF4F16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="00D84D6E" w:rsidRPr="00CF4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CF4F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безплатно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16" w:rsidRDefault="00CF4F16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зададе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ръководството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холдинга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директорите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длъжни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вярно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изчерпателно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същество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въпросите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икономическото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търговската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6F" w:rsidRDefault="002B0A6F" w:rsidP="002B0A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Протоколите от проведеното общо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акционерите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обявяват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D6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публикуват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меди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D84D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Протоколите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Българска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борса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D6E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84D6E">
        <w:rPr>
          <w:rFonts w:ascii="Times New Roman" w:hAnsi="Times New Roman" w:cs="Times New Roman"/>
          <w:sz w:val="24"/>
          <w:szCs w:val="24"/>
        </w:rPr>
        <w:t xml:space="preserve"> АД. </w:t>
      </w:r>
    </w:p>
    <w:p w:rsidR="002B0A6F" w:rsidRPr="00753224" w:rsidRDefault="00753224" w:rsidP="00D84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Интернет страницата на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Български транспортен холдинг“ АД съдържа информация за дружеството – седалище, предмет на дейност, управителни органи, информацията на основните инвестиции и дъщерни дружества, регулирана </w:t>
      </w:r>
      <w:r w:rsidR="00F71A64">
        <w:rPr>
          <w:rFonts w:ascii="Times New Roman" w:hAnsi="Times New Roman" w:cs="Times New Roman"/>
          <w:sz w:val="24"/>
          <w:szCs w:val="24"/>
          <w:lang w:val="bg-BG"/>
        </w:rPr>
        <w:t xml:space="preserve">и нерегулирана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информация, </w:t>
      </w:r>
      <w:r w:rsidR="00F71A64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дружествени отчети</w:t>
      </w:r>
      <w:r w:rsidR="00F71A64">
        <w:rPr>
          <w:rFonts w:ascii="Times New Roman" w:hAnsi="Times New Roman" w:cs="Times New Roman"/>
          <w:sz w:val="24"/>
          <w:szCs w:val="24"/>
          <w:lang w:val="bg-BG"/>
        </w:rPr>
        <w:t>, вътрешна информация и др. важна информация за дейността, информация за акционерите и техните права, както и важни вътрешни документи, като устав, правила, политики и др.</w:t>
      </w:r>
    </w:p>
    <w:p w:rsidR="00F71A64" w:rsidRDefault="00F71A64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поддържа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64" w:rsidRDefault="00F71A64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променя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разкрива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събраната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lastRenderedPageBreak/>
        <w:t>предвидените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маркетингови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кампании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31" w:rsidRPr="00BD216A" w:rsidRDefault="008B5231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D216A">
        <w:rPr>
          <w:rFonts w:ascii="Times New Roman" w:hAnsi="Times New Roman" w:cs="Times New Roman"/>
          <w:sz w:val="24"/>
          <w:szCs w:val="24"/>
          <w:lang w:val="bg-BG"/>
        </w:rPr>
        <w:t>ПРАВИЛА ЗА ИЗГОТВЯНЕ НА ГОДИШНИ И МЕЖДИННИ ОТЧЕТИ</w:t>
      </w:r>
    </w:p>
    <w:p w:rsidR="008B5231" w:rsidRPr="008B5231" w:rsidRDefault="00BD216A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Чл. 15. „Български транспортен холдинг“ АД съставя </w:t>
      </w:r>
      <w:r w:rsidR="000843AF" w:rsidRPr="00807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годишните и междинни отчети на</w:t>
      </w:r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</w:t>
      </w:r>
      <w:proofErr w:type="spellEnd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език</w:t>
      </w:r>
      <w:proofErr w:type="spellEnd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арабски</w:t>
      </w:r>
      <w:proofErr w:type="spellEnd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цифри</w:t>
      </w:r>
      <w:proofErr w:type="spellEnd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хиляди</w:t>
      </w:r>
      <w:proofErr w:type="spellEnd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левове</w:t>
      </w:r>
      <w:proofErr w:type="spellEnd"/>
      <w:r w:rsidR="008B5231"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B5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Pr="008B5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07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16</w:t>
      </w:r>
      <w:r w:rsidRPr="008B5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(1)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представят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вярно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имущественото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финансовото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предприятието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паричните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потоци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собствения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Вярното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честното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представяне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показване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определенията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признаване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пасиви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3AF"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международните стандарти за финансово отчитане</w:t>
      </w: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Съдържанието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финансовите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ясно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разбираемо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B5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Pr="008B5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07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8B5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8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43AF"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„Български транспортен холдинг“ АД</w:t>
      </w:r>
      <w:r w:rsidR="000843AF" w:rsidRPr="0080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3AF" w:rsidRPr="00807B56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съставя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годишен</w:t>
      </w:r>
      <w:proofErr w:type="spellEnd"/>
      <w:proofErr w:type="gram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декември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отчетния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5231" w:rsidRPr="008B5231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консолидиран</w:t>
      </w:r>
      <w:proofErr w:type="spellEnd"/>
      <w:proofErr w:type="gram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декември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отчетния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0843AF"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8B5231" w:rsidRPr="00807B56" w:rsidRDefault="008B5231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междинни</w:t>
      </w:r>
      <w:proofErr w:type="spellEnd"/>
      <w:proofErr w:type="gram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отчети</w:t>
      </w:r>
      <w:proofErr w:type="spellEnd"/>
      <w:r w:rsidR="000843AF"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към края на </w:t>
      </w:r>
      <w:r w:rsidR="00807B56"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всяко тримесечие;</w:t>
      </w:r>
    </w:p>
    <w:p w:rsidR="00807B56" w:rsidRPr="00807B56" w:rsidRDefault="00807B56" w:rsidP="00807B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консолидирани</w:t>
      </w:r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</w:t>
      </w:r>
      <w:proofErr w:type="spellEnd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2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отчети</w:t>
      </w:r>
      <w:proofErr w:type="spellEnd"/>
      <w:r w:rsidRPr="00807B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към края на всяко тримесечие.</w:t>
      </w:r>
    </w:p>
    <w:p w:rsidR="00807B56" w:rsidRPr="008B5231" w:rsidRDefault="00807B56" w:rsidP="008B523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bg-BG"/>
        </w:rPr>
      </w:pPr>
    </w:p>
    <w:p w:rsidR="00F71A64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84D6E">
        <w:rPr>
          <w:rFonts w:ascii="Times New Roman" w:hAnsi="Times New Roman" w:cs="Times New Roman"/>
          <w:sz w:val="24"/>
          <w:szCs w:val="24"/>
        </w:rPr>
        <w:t>І</w:t>
      </w:r>
      <w:r w:rsidR="00807B56">
        <w:rPr>
          <w:rFonts w:ascii="Times New Roman" w:hAnsi="Times New Roman" w:cs="Times New Roman"/>
          <w:sz w:val="24"/>
          <w:szCs w:val="24"/>
        </w:rPr>
        <w:t>V</w:t>
      </w:r>
      <w:r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6E">
        <w:rPr>
          <w:rFonts w:ascii="Times New Roman" w:hAnsi="Times New Roman" w:cs="Times New Roman"/>
          <w:sz w:val="24"/>
          <w:szCs w:val="24"/>
        </w:rPr>
        <w:t xml:space="preserve"> РАЗКРИВАНЕ НА РЕГУЛИРАНА 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 xml:space="preserve">И ДРУГА </w:t>
      </w:r>
      <w:r w:rsidRPr="00D84D6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245CB" w:rsidRDefault="00F71A64" w:rsidP="00D84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807B56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своевременно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оповестява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всяка съществена периодична и инцидентна информация относно дружеството, неговото управление, корпоративните ръководства, ръководната дейност, оперативната дейност, акционерната структура и др.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Българска фондова борса-София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инвестиционната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общественост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C3F" w:rsidRDefault="00E245CB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19.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междинен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първото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полугодие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годишен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първото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третото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четвъртото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тримесечие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 w:rsidR="00F71A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обобщаване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дъщерните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холдингът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консолидирани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отчети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3F" w:rsidRDefault="00AB0C3F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Директорът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връзки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инвеститорите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осигурява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навременното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достоверно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разкриване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3F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4D6E">
        <w:rPr>
          <w:rFonts w:ascii="Times New Roman" w:hAnsi="Times New Roman" w:cs="Times New Roman"/>
          <w:sz w:val="24"/>
          <w:szCs w:val="24"/>
        </w:rPr>
        <w:t xml:space="preserve">V. ПРЕДОСТАВЯНЕ НА ИНФОРМАЦИЯ И ВЗАИМОДЕЙСТВИЕ С ИНСТИТУЦИОНАЛНИ ИНВЕСТИТОРИ, ИНВЕСТИЦИОННИ ПОСРЕДНИЦИ И РЕГУЛИРАНИЯ ПАЗАР </w:t>
      </w:r>
    </w:p>
    <w:p w:rsidR="00AB0C3F" w:rsidRDefault="00AB0C3F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807B5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 Корпоративното р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ъководство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акционери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lastRenderedPageBreak/>
        <w:t>институционални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инвеститори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борса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АД,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регулиран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инвестиционните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посредници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C3F" w:rsidRDefault="00AB0C3F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807B5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 Ако е необходим избор на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инвестиционен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посредник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Управителният съвет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отчита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посредника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базират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пазарна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</w:p>
    <w:p w:rsidR="00AB0C3F" w:rsidRDefault="00AB0C3F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807B5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разкриване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ограничаване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конфликтите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консултации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3F" w:rsidRDefault="00D84D6E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4D6E">
        <w:rPr>
          <w:rFonts w:ascii="Times New Roman" w:hAnsi="Times New Roman" w:cs="Times New Roman"/>
          <w:sz w:val="24"/>
          <w:szCs w:val="24"/>
        </w:rPr>
        <w:t>V</w:t>
      </w:r>
      <w:r w:rsidR="00807B56">
        <w:rPr>
          <w:rFonts w:ascii="Times New Roman" w:hAnsi="Times New Roman" w:cs="Times New Roman"/>
          <w:sz w:val="24"/>
          <w:szCs w:val="24"/>
        </w:rPr>
        <w:t>I</w:t>
      </w:r>
      <w:r w:rsidRPr="00D84D6E">
        <w:rPr>
          <w:rFonts w:ascii="Times New Roman" w:hAnsi="Times New Roman" w:cs="Times New Roman"/>
          <w:sz w:val="24"/>
          <w:szCs w:val="24"/>
        </w:rPr>
        <w:t xml:space="preserve">. ПРЕДОСТАВЯНЕ НА ИНФОРМАЦИЯ НА СПЕЦИАЛИЗИРАНИ ИКОНОМИЧЕСКИ МЕДИИ </w:t>
      </w:r>
    </w:p>
    <w:p w:rsidR="00D84D6E" w:rsidRPr="00D84D6E" w:rsidRDefault="00AB0C3F" w:rsidP="00D84D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807B5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45CB">
        <w:rPr>
          <w:rFonts w:ascii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 Корпоративното ръководство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 w:rsidR="00D84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D84D6E">
        <w:rPr>
          <w:rFonts w:ascii="Times New Roman" w:hAnsi="Times New Roman" w:cs="Times New Roman"/>
          <w:sz w:val="24"/>
          <w:szCs w:val="24"/>
        </w:rPr>
        <w:t>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предоставя информация на специализирани икономически медии.</w:t>
      </w:r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D6E" w:rsidRPr="00D84D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такава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съблюдават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търговската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тайна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ангажимента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оповестяване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недопускане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манипулиране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6E" w:rsidRPr="00D84D6E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="00D84D6E" w:rsidRPr="00D84D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84D6E" w:rsidRPr="00D84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6E"/>
    <w:rsid w:val="000843AF"/>
    <w:rsid w:val="001C27B2"/>
    <w:rsid w:val="002B0A6F"/>
    <w:rsid w:val="002C1E6C"/>
    <w:rsid w:val="00753224"/>
    <w:rsid w:val="0076054E"/>
    <w:rsid w:val="00807B56"/>
    <w:rsid w:val="008B5231"/>
    <w:rsid w:val="00AB0C3F"/>
    <w:rsid w:val="00BD216A"/>
    <w:rsid w:val="00CF4F16"/>
    <w:rsid w:val="00D84D6E"/>
    <w:rsid w:val="00E245CB"/>
    <w:rsid w:val="00F078DC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tons">
    <w:name w:val="buttons"/>
    <w:basedOn w:val="a"/>
    <w:rsid w:val="008B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8B5231"/>
  </w:style>
  <w:style w:type="paragraph" w:styleId="a3">
    <w:name w:val="Balloon Text"/>
    <w:basedOn w:val="a"/>
    <w:link w:val="a4"/>
    <w:uiPriority w:val="99"/>
    <w:semiHidden/>
    <w:unhideWhenUsed/>
    <w:rsid w:val="008B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tons">
    <w:name w:val="buttons"/>
    <w:basedOn w:val="a"/>
    <w:rsid w:val="008B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8B5231"/>
  </w:style>
  <w:style w:type="paragraph" w:styleId="a3">
    <w:name w:val="Balloon Text"/>
    <w:basedOn w:val="a"/>
    <w:link w:val="a4"/>
    <w:uiPriority w:val="99"/>
    <w:semiHidden/>
    <w:unhideWhenUsed/>
    <w:rsid w:val="008B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8</cp:revision>
  <dcterms:created xsi:type="dcterms:W3CDTF">2020-04-02T09:31:00Z</dcterms:created>
  <dcterms:modified xsi:type="dcterms:W3CDTF">2020-04-02T13:13:00Z</dcterms:modified>
</cp:coreProperties>
</file>